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179F" w14:textId="4D84BA53" w:rsidR="00697D11" w:rsidRPr="00D44488" w:rsidRDefault="00924D06">
      <w:pPr>
        <w:rPr>
          <w:rFonts w:ascii="Segoe UI" w:hAnsi="Segoe UI" w:cs="Segoe UI"/>
          <w:b/>
        </w:rPr>
      </w:pPr>
      <w:r w:rsidRPr="00D44488">
        <w:rPr>
          <w:rFonts w:ascii="Segoe UI" w:hAnsi="Segoe UI" w:cs="Segoe UI"/>
          <w:b/>
        </w:rPr>
        <w:t>Acquisition Cost</w:t>
      </w:r>
    </w:p>
    <w:p w14:paraId="1F5C0FA5" w14:textId="77777777" w:rsidR="00697D11" w:rsidRPr="00D44488" w:rsidRDefault="00924D06">
      <w:pPr>
        <w:rPr>
          <w:rFonts w:ascii="Segoe UI" w:hAnsi="Segoe UI" w:cs="Segoe UI"/>
        </w:rPr>
      </w:pPr>
      <w:r w:rsidRPr="00D44488">
        <w:rPr>
          <w:rFonts w:ascii="Segoe UI" w:hAnsi="Segoe UI" w:cs="Segoe UI"/>
        </w:rPr>
        <w:t>Not applicable.</w:t>
      </w:r>
    </w:p>
    <w:p w14:paraId="29D10176" w14:textId="77777777" w:rsidR="00697D11" w:rsidRPr="00D44488" w:rsidRDefault="00697D11">
      <w:pPr>
        <w:rPr>
          <w:rFonts w:ascii="Segoe UI" w:hAnsi="Segoe UI" w:cs="Segoe UI"/>
        </w:rPr>
      </w:pPr>
    </w:p>
    <w:p w14:paraId="5231E182" w14:textId="77777777" w:rsidR="00697D11" w:rsidRPr="00D44488" w:rsidRDefault="00924D06">
      <w:pPr>
        <w:rPr>
          <w:rFonts w:ascii="Segoe UI" w:hAnsi="Segoe UI" w:cs="Segoe UI"/>
          <w:b/>
        </w:rPr>
      </w:pPr>
      <w:r w:rsidRPr="00D44488">
        <w:rPr>
          <w:rFonts w:ascii="Segoe UI" w:hAnsi="Segoe UI" w:cs="Segoe UI"/>
          <w:b/>
        </w:rPr>
        <w:t>FDA Approval Designation</w:t>
      </w:r>
    </w:p>
    <w:p w14:paraId="1F46A003" w14:textId="77777777" w:rsidR="00BD6E3A" w:rsidRPr="00170CEC" w:rsidRDefault="00BD6E3A" w:rsidP="00BD6E3A">
      <w:pPr>
        <w:spacing w:after="0" w:line="240" w:lineRule="auto"/>
        <w:rPr>
          <w:rFonts w:ascii="Segoe UI" w:hAnsi="Segoe UI" w:cs="Segoe UI"/>
        </w:rPr>
      </w:pPr>
      <w:r w:rsidRPr="00170CEC">
        <w:rPr>
          <w:rFonts w:ascii="Segoe UI" w:hAnsi="Segoe UI" w:cs="Segoe UI"/>
        </w:rPr>
        <w:t>On January 9, 2020, the U.S. Food and Drug Administration (FDA) approved AYVAKIT™ (</w:t>
      </w:r>
      <w:proofErr w:type="spellStart"/>
      <w:r w:rsidRPr="00170CEC">
        <w:rPr>
          <w:rFonts w:ascii="Segoe UI" w:hAnsi="Segoe UI" w:cs="Segoe UI"/>
        </w:rPr>
        <w:t>avapritinib</w:t>
      </w:r>
      <w:proofErr w:type="spellEnd"/>
      <w:r w:rsidRPr="00170CEC">
        <w:rPr>
          <w:rFonts w:ascii="Segoe UI" w:hAnsi="Segoe UI" w:cs="Segoe UI"/>
        </w:rPr>
        <w:t xml:space="preserve">) for the treatment of adults with unresectable or metastatic gastrointestinal stromal tumor (GIST) harboring a platelet-derived growth factor receptor alpha (PDGFRA) exon 18 mutation, including PDGFRA D842V mutations. AYVAKIT has FDA Breakthrough Therapy </w:t>
      </w:r>
      <w:r>
        <w:rPr>
          <w:rFonts w:ascii="Segoe UI" w:hAnsi="Segoe UI" w:cs="Segoe UI"/>
        </w:rPr>
        <w:t xml:space="preserve">and Fast Track </w:t>
      </w:r>
      <w:r w:rsidRPr="00170CEC">
        <w:rPr>
          <w:rFonts w:ascii="Segoe UI" w:hAnsi="Segoe UI" w:cs="Segoe UI"/>
        </w:rPr>
        <w:t>Designation</w:t>
      </w:r>
      <w:r>
        <w:rPr>
          <w:rFonts w:ascii="Segoe UI" w:hAnsi="Segoe UI" w:cs="Segoe UI"/>
        </w:rPr>
        <w:t>s</w:t>
      </w:r>
      <w:r w:rsidRPr="00170CEC">
        <w:rPr>
          <w:rFonts w:ascii="Segoe UI" w:hAnsi="Segoe UI" w:cs="Segoe UI"/>
        </w:rPr>
        <w:t xml:space="preserve"> for the treatment of patients with </w:t>
      </w:r>
      <w:r>
        <w:rPr>
          <w:rFonts w:ascii="Segoe UI" w:hAnsi="Segoe UI" w:cs="Segoe UI"/>
        </w:rPr>
        <w:t xml:space="preserve">unresectable or </w:t>
      </w:r>
      <w:r w:rsidRPr="00170CEC">
        <w:rPr>
          <w:rFonts w:ascii="Segoe UI" w:hAnsi="Segoe UI" w:cs="Segoe UI"/>
        </w:rPr>
        <w:t>metastatic GIST harboring PDGFRA D842V mutations</w:t>
      </w:r>
      <w:r>
        <w:rPr>
          <w:rStyle w:val="FootnoteReference"/>
          <w:rFonts w:ascii="Segoe UI" w:hAnsi="Segoe UI" w:cs="Segoe UI"/>
        </w:rPr>
        <w:footnoteReference w:id="1"/>
      </w:r>
      <w:r>
        <w:rPr>
          <w:rFonts w:ascii="Segoe UI" w:hAnsi="Segoe UI" w:cs="Segoe UI"/>
        </w:rPr>
        <w:t xml:space="preserve"> </w:t>
      </w:r>
      <w:r w:rsidRPr="00170CEC">
        <w:rPr>
          <w:rFonts w:ascii="Segoe UI" w:hAnsi="Segoe UI" w:cs="Segoe UI"/>
        </w:rPr>
        <w:t xml:space="preserve">and </w:t>
      </w:r>
      <w:r>
        <w:rPr>
          <w:rFonts w:ascii="Segoe UI" w:hAnsi="Segoe UI" w:cs="Segoe UI"/>
        </w:rPr>
        <w:t>was approved under Priority Review.</w:t>
      </w:r>
      <w:r>
        <w:rPr>
          <w:rStyle w:val="FootnoteReference"/>
          <w:rFonts w:ascii="Segoe UI" w:hAnsi="Segoe UI" w:cs="Segoe UI"/>
        </w:rPr>
        <w:footnoteReference w:id="2"/>
      </w:r>
    </w:p>
    <w:p w14:paraId="041994C9" w14:textId="77777777" w:rsidR="00697D11" w:rsidRPr="00D44488" w:rsidRDefault="00697D11">
      <w:pPr>
        <w:rPr>
          <w:rFonts w:ascii="Segoe UI" w:hAnsi="Segoe UI" w:cs="Segoe UI"/>
          <w:b/>
        </w:rPr>
      </w:pPr>
    </w:p>
    <w:p w14:paraId="71334EA9" w14:textId="77777777" w:rsidR="00001625" w:rsidRPr="00D44488" w:rsidRDefault="00001625" w:rsidP="00001625">
      <w:pPr>
        <w:spacing w:before="120" w:after="120" w:line="276" w:lineRule="auto"/>
        <w:contextualSpacing/>
        <w:rPr>
          <w:rFonts w:ascii="Segoe UI" w:hAnsi="Segoe UI" w:cs="Segoe UI"/>
          <w:b/>
        </w:rPr>
      </w:pPr>
      <w:r w:rsidRPr="00D44488">
        <w:rPr>
          <w:rFonts w:ascii="Segoe UI" w:hAnsi="Segoe UI" w:cs="Segoe UI"/>
          <w:b/>
        </w:rPr>
        <w:t>Expected Utilization</w:t>
      </w:r>
    </w:p>
    <w:p w14:paraId="1DDCFC83" w14:textId="77777777" w:rsidR="006E39A9" w:rsidRPr="00170CEC" w:rsidRDefault="006E39A9" w:rsidP="006E39A9">
      <w:pPr>
        <w:pStyle w:val="NoSpacing"/>
        <w:rPr>
          <w:rFonts w:ascii="Segoe UI" w:hAnsi="Segoe UI" w:cs="Segoe UI"/>
        </w:rPr>
      </w:pPr>
      <w:r w:rsidRPr="00170CEC">
        <w:rPr>
          <w:rFonts w:ascii="Segoe UI" w:hAnsi="Segoe UI" w:cs="Segoe UI"/>
        </w:rPr>
        <w:t xml:space="preserve">GIST is a rare, </w:t>
      </w:r>
      <w:proofErr w:type="spellStart"/>
      <w:r w:rsidRPr="00170CEC">
        <w:rPr>
          <w:rFonts w:ascii="Segoe UI" w:hAnsi="Segoe UI" w:cs="Segoe UI"/>
        </w:rPr>
        <w:t>genomically</w:t>
      </w:r>
      <w:proofErr w:type="spellEnd"/>
      <w:r w:rsidRPr="00170CEC">
        <w:rPr>
          <w:rFonts w:ascii="Segoe UI" w:hAnsi="Segoe UI" w:cs="Segoe UI"/>
        </w:rPr>
        <w:t xml:space="preserve"> driven sarcoma of the gastrointestinal (GI) tract. There are approximately 5,000 patients diagnosed with primary GIST in the U</w:t>
      </w:r>
      <w:r>
        <w:rPr>
          <w:rFonts w:ascii="Segoe UI" w:hAnsi="Segoe UI" w:cs="Segoe UI"/>
        </w:rPr>
        <w:t>.</w:t>
      </w:r>
      <w:r w:rsidRPr="00170CEC">
        <w:rPr>
          <w:rFonts w:ascii="Segoe UI" w:hAnsi="Segoe UI" w:cs="Segoe UI"/>
        </w:rPr>
        <w:t>S</w:t>
      </w:r>
      <w:r>
        <w:rPr>
          <w:rFonts w:ascii="Segoe UI" w:hAnsi="Segoe UI" w:cs="Segoe UI"/>
        </w:rPr>
        <w:t>.</w:t>
      </w:r>
      <w:r w:rsidRPr="00170CEC">
        <w:rPr>
          <w:rFonts w:ascii="Segoe UI" w:hAnsi="Segoe UI" w:cs="Segoe UI"/>
        </w:rPr>
        <w:t xml:space="preserve"> annually, and approximately </w:t>
      </w:r>
      <w:r>
        <w:rPr>
          <w:rFonts w:ascii="Segoe UI" w:hAnsi="Segoe UI" w:cs="Segoe UI"/>
        </w:rPr>
        <w:t xml:space="preserve">five to six </w:t>
      </w:r>
      <w:r w:rsidRPr="00170CEC">
        <w:rPr>
          <w:rFonts w:ascii="Segoe UI" w:hAnsi="Segoe UI" w:cs="Segoe UI"/>
        </w:rPr>
        <w:t xml:space="preserve">percent of patients with newly diagnosed GIST have PDGFRA exon 18 mutations. The most common PDGFRA exon 18 mutation is the D842V mutation, which is resistant to all other approved therapies. These incidence estimates are based on external data sources, and GIST epidemiology data are imprecise. We do not have state-specific estimates for anticipated AYVAKIT utilization. </w:t>
      </w:r>
    </w:p>
    <w:p w14:paraId="658D8C73" w14:textId="77777777" w:rsidR="00697D11" w:rsidRPr="00D44488" w:rsidRDefault="00697D11">
      <w:pPr>
        <w:rPr>
          <w:rFonts w:ascii="Segoe UI" w:hAnsi="Segoe UI" w:cs="Segoe UI"/>
          <w:b/>
        </w:rPr>
      </w:pPr>
    </w:p>
    <w:p w14:paraId="02520A1F" w14:textId="77777777" w:rsidR="00697D11" w:rsidRPr="00D44488" w:rsidRDefault="00924D06">
      <w:pPr>
        <w:rPr>
          <w:rFonts w:ascii="Segoe UI" w:hAnsi="Segoe UI" w:cs="Segoe UI"/>
          <w:b/>
        </w:rPr>
      </w:pPr>
      <w:r w:rsidRPr="00D44488">
        <w:rPr>
          <w:rFonts w:ascii="Segoe UI" w:hAnsi="Segoe UI" w:cs="Segoe UI"/>
          <w:b/>
        </w:rPr>
        <w:t>Marketing Plan Disclosure</w:t>
      </w:r>
    </w:p>
    <w:p w14:paraId="5E602A2D" w14:textId="1F545E1E" w:rsidR="00697D11" w:rsidRPr="00D44488" w:rsidRDefault="002C0F01">
      <w:pPr>
        <w:rPr>
          <w:rFonts w:ascii="Segoe UI" w:hAnsi="Segoe UI" w:cs="Segoe UI"/>
        </w:rPr>
      </w:pPr>
      <w:r w:rsidRPr="00D44488">
        <w:rPr>
          <w:rFonts w:ascii="Segoe UI" w:hAnsi="Segoe UI" w:cs="Segoe UI"/>
        </w:rPr>
        <w:t>The company’s marketing plan is not in the public domain nor is this information otherwise publicly available, and therefore, not subject to disclosure.</w:t>
      </w:r>
    </w:p>
    <w:p w14:paraId="026D0C6C" w14:textId="77777777" w:rsidR="002C0F01" w:rsidRPr="00D44488" w:rsidRDefault="002C0F01">
      <w:pPr>
        <w:rPr>
          <w:rFonts w:ascii="Segoe UI" w:hAnsi="Segoe UI" w:cs="Segoe UI"/>
          <w:b/>
        </w:rPr>
      </w:pPr>
    </w:p>
    <w:p w14:paraId="2A3EECFF" w14:textId="02AB5874" w:rsidR="00697D11" w:rsidRPr="00D44488" w:rsidRDefault="00924D06">
      <w:pPr>
        <w:rPr>
          <w:rFonts w:ascii="Segoe UI" w:hAnsi="Segoe UI" w:cs="Segoe UI"/>
          <w:b/>
        </w:rPr>
      </w:pPr>
      <w:r w:rsidRPr="00D44488">
        <w:rPr>
          <w:rFonts w:ascii="Segoe UI" w:hAnsi="Segoe UI" w:cs="Segoe UI"/>
          <w:b/>
        </w:rPr>
        <w:t>Pricing Plan Disclosure</w:t>
      </w:r>
    </w:p>
    <w:p w14:paraId="411D1F1E" w14:textId="4270A896" w:rsidR="00697D11" w:rsidRPr="00D44488" w:rsidRDefault="002C0F01">
      <w:pPr>
        <w:rPr>
          <w:rFonts w:ascii="Segoe UI" w:hAnsi="Segoe UI" w:cs="Segoe UI"/>
        </w:rPr>
      </w:pPr>
      <w:r w:rsidRPr="00D44488">
        <w:rPr>
          <w:rFonts w:ascii="Segoe UI" w:hAnsi="Segoe UI" w:cs="Segoe UI"/>
        </w:rPr>
        <w:t>The company’s pricing plan is not in the public domain nor is this information otherwise publicly available, and therefore, not subject to disclosure.</w:t>
      </w:r>
    </w:p>
    <w:p w14:paraId="1AFD5CAE" w14:textId="77777777" w:rsidR="002C0F01" w:rsidRPr="00D44488" w:rsidRDefault="002C0F01">
      <w:pPr>
        <w:rPr>
          <w:rFonts w:ascii="Segoe UI" w:hAnsi="Segoe UI" w:cs="Segoe UI"/>
          <w:b/>
        </w:rPr>
      </w:pPr>
      <w:bookmarkStart w:id="0" w:name="_Hlk24963554"/>
    </w:p>
    <w:p w14:paraId="153FA16F" w14:textId="2C823A25" w:rsidR="00697D11" w:rsidRPr="00D44488" w:rsidRDefault="00924D06">
      <w:pPr>
        <w:rPr>
          <w:rFonts w:ascii="Segoe UI" w:hAnsi="Segoe UI" w:cs="Segoe UI"/>
          <w:b/>
        </w:rPr>
      </w:pPr>
      <w:r w:rsidRPr="00D44488">
        <w:rPr>
          <w:rFonts w:ascii="Segoe UI" w:hAnsi="Segoe UI" w:cs="Segoe UI"/>
          <w:b/>
        </w:rPr>
        <w:t>Launch Price</w:t>
      </w:r>
    </w:p>
    <w:bookmarkEnd w:id="0"/>
    <w:p w14:paraId="4520E981" w14:textId="3396DCE9" w:rsidR="00697D11" w:rsidRPr="00D44488" w:rsidRDefault="00B72E3B" w:rsidP="00B72E3B">
      <w:pPr>
        <w:spacing w:before="120" w:after="120" w:line="276" w:lineRule="auto"/>
        <w:contextualSpacing/>
        <w:rPr>
          <w:rFonts w:ascii="Segoe UI" w:hAnsi="Segoe UI" w:cs="Segoe UI"/>
        </w:rPr>
      </w:pPr>
      <w:r w:rsidRPr="00170CEC">
        <w:rPr>
          <w:rFonts w:ascii="Segoe UI" w:hAnsi="Segoe UI" w:cs="Segoe UI"/>
        </w:rPr>
        <w:t xml:space="preserve">The wholesale acquisition cost (WAC) for a 30-day supply of AYVAKIT is $32,000.  </w:t>
      </w:r>
    </w:p>
    <w:sectPr w:rsidR="00697D11" w:rsidRPr="00D444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MANAUTOMACRO.AUTOMACRO.FILESAVEBINDING"/>
    </wne:keymap>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7E2C" w14:textId="77777777" w:rsidR="00DD5C35" w:rsidRDefault="00DD5C35">
      <w:pPr>
        <w:spacing w:after="0" w:line="240" w:lineRule="auto"/>
      </w:pPr>
      <w:r>
        <w:separator/>
      </w:r>
    </w:p>
  </w:endnote>
  <w:endnote w:type="continuationSeparator" w:id="0">
    <w:p w14:paraId="00B0153B" w14:textId="77777777" w:rsidR="00DD5C35" w:rsidRDefault="00DD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52d5780-db05-4628-87ec-d084"/>
  <w:p w14:paraId="644F06A2" w14:textId="77777777" w:rsidR="00697D11" w:rsidRDefault="00924D06">
    <w:pPr>
      <w:pStyle w:val="DocID"/>
    </w:pPr>
    <w:r>
      <w:fldChar w:fldCharType="begin"/>
    </w:r>
    <w:r>
      <w:instrText xml:space="preserve">  DOCPROPERTY "CUS_DocIDChunk0" </w:instrText>
    </w:r>
    <w:r>
      <w:fldChar w:fldCharType="separate"/>
    </w:r>
    <w:r>
      <w:rPr>
        <w:noProof/>
      </w:rPr>
      <w:t>DMSLIBRARY01\99999\112243\35739827.v1-11/27/19</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37EA" w14:textId="77777777" w:rsidR="00BD6E3A" w:rsidRDefault="00BD6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5adb6505-30a6-4185-9204-4f3e"/>
  <w:p w14:paraId="75319E0B" w14:textId="77777777" w:rsidR="00697D11" w:rsidRDefault="00924D06">
    <w:pPr>
      <w:pStyle w:val="DocID"/>
    </w:pPr>
    <w:r>
      <w:fldChar w:fldCharType="begin"/>
    </w:r>
    <w:r>
      <w:instrText xml:space="preserve">  DOCPROPERTY "CUS_DocIDChunk0" </w:instrText>
    </w:r>
    <w:r>
      <w:fldChar w:fldCharType="separate"/>
    </w:r>
    <w:r>
      <w:rPr>
        <w:noProof/>
      </w:rPr>
      <w:t>DMSLIBRARY01\99999\112243\35739827.v1-11/27/19</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6B28" w14:textId="77777777" w:rsidR="00DD5C35" w:rsidRDefault="00DD5C35">
      <w:pPr>
        <w:spacing w:after="0" w:line="240" w:lineRule="auto"/>
      </w:pPr>
      <w:r>
        <w:separator/>
      </w:r>
    </w:p>
  </w:footnote>
  <w:footnote w:type="continuationSeparator" w:id="0">
    <w:p w14:paraId="519EB9DE" w14:textId="77777777" w:rsidR="00DD5C35" w:rsidRDefault="00DD5C35">
      <w:pPr>
        <w:spacing w:after="0" w:line="240" w:lineRule="auto"/>
      </w:pPr>
      <w:r>
        <w:continuationSeparator/>
      </w:r>
    </w:p>
  </w:footnote>
  <w:footnote w:id="1">
    <w:p w14:paraId="73755B2B" w14:textId="77777777" w:rsidR="00BD6E3A" w:rsidRPr="006C56FA" w:rsidRDefault="00BD6E3A" w:rsidP="00BD6E3A">
      <w:pPr>
        <w:spacing w:after="0" w:line="240" w:lineRule="auto"/>
        <w:contextualSpacing/>
        <w:rPr>
          <w:rFonts w:ascii="Segoe UI" w:hAnsi="Segoe UI" w:cs="Segoe UI"/>
        </w:rPr>
      </w:pPr>
      <w:r w:rsidRPr="006C56FA">
        <w:rPr>
          <w:rStyle w:val="FootnoteReference"/>
          <w:rFonts w:ascii="Segoe UI" w:hAnsi="Segoe UI" w:cs="Segoe UI"/>
        </w:rPr>
        <w:footnoteRef/>
      </w:r>
      <w:r w:rsidRPr="006C56FA">
        <w:rPr>
          <w:rFonts w:ascii="Segoe UI" w:hAnsi="Segoe UI" w:cs="Segoe UI"/>
        </w:rPr>
        <w:t xml:space="preserve"> Data on file (DOF-REF-00206). Blueprint Medicines Corporation, Cambridge, MA. 2019. </w:t>
      </w:r>
    </w:p>
    <w:p w14:paraId="783776C8" w14:textId="77777777" w:rsidR="00BD6E3A" w:rsidRPr="006C56FA" w:rsidRDefault="00BD6E3A" w:rsidP="00BD6E3A">
      <w:pPr>
        <w:pStyle w:val="FootnoteText"/>
        <w:contextualSpacing/>
        <w:rPr>
          <w:rFonts w:ascii="Segoe UI" w:hAnsi="Segoe UI" w:cs="Segoe UI"/>
          <w:sz w:val="22"/>
          <w:szCs w:val="22"/>
        </w:rPr>
      </w:pPr>
    </w:p>
  </w:footnote>
  <w:footnote w:id="2">
    <w:p w14:paraId="02D4C1BC" w14:textId="77777777" w:rsidR="00BD6E3A" w:rsidRPr="006C56FA" w:rsidRDefault="00BD6E3A" w:rsidP="00BD6E3A">
      <w:pPr>
        <w:pStyle w:val="FootnoteText"/>
        <w:contextualSpacing/>
        <w:rPr>
          <w:rFonts w:ascii="Segoe UI" w:hAnsi="Segoe UI" w:cs="Segoe UI"/>
          <w:sz w:val="22"/>
          <w:szCs w:val="22"/>
        </w:rPr>
      </w:pPr>
      <w:r w:rsidRPr="006C56FA">
        <w:rPr>
          <w:rStyle w:val="FootnoteReference"/>
          <w:rFonts w:ascii="Segoe UI" w:hAnsi="Segoe UI" w:cs="Segoe UI"/>
          <w:sz w:val="22"/>
          <w:szCs w:val="22"/>
        </w:rPr>
        <w:footnoteRef/>
      </w:r>
      <w:r w:rsidRPr="006C56FA">
        <w:rPr>
          <w:rFonts w:ascii="Segoe UI" w:hAnsi="Segoe UI" w:cs="Segoe UI"/>
          <w:sz w:val="22"/>
          <w:szCs w:val="22"/>
        </w:rPr>
        <w:t xml:space="preserve"> Data on file (DOF-REF-00263). Blueprint Medicines Corporation, Cambridge, MA.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F70D" w14:textId="77777777" w:rsidR="00BD6E3A" w:rsidRDefault="00BD6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AA32" w14:textId="65A68A7A" w:rsidR="00697D11" w:rsidRPr="00D44488" w:rsidRDefault="00924D06">
    <w:pPr>
      <w:pStyle w:val="Header"/>
      <w:rPr>
        <w:rFonts w:ascii="Segoe UI" w:hAnsi="Segoe UI" w:cs="Segoe UI"/>
      </w:rPr>
    </w:pPr>
    <w:r w:rsidRPr="00D44488">
      <w:rPr>
        <w:rFonts w:ascii="Segoe UI" w:hAnsi="Segoe UI" w:cs="Segoe UI"/>
      </w:rPr>
      <w:t>Drug Price Transparency Disclosure –</w:t>
    </w:r>
    <w:r w:rsidR="00BD6E3A">
      <w:rPr>
        <w:rFonts w:ascii="Segoe UI" w:hAnsi="Segoe UI" w:cs="Segoe UI"/>
        <w:b/>
      </w:rPr>
      <w:t xml:space="preserve"> </w:t>
    </w:r>
    <w:bookmarkStart w:id="1" w:name="_GoBack"/>
    <w:bookmarkEnd w:id="1"/>
    <w:r w:rsidRPr="00D44488">
      <w:rPr>
        <w:rFonts w:ascii="Segoe UI" w:hAnsi="Segoe UI" w:cs="Segoe UI"/>
        <w:b/>
      </w:rPr>
      <w:t>AYVAKIT™ (</w:t>
    </w:r>
    <w:proofErr w:type="spellStart"/>
    <w:r w:rsidRPr="00D44488">
      <w:rPr>
        <w:rFonts w:ascii="Segoe UI" w:hAnsi="Segoe UI" w:cs="Segoe UI"/>
        <w:b/>
      </w:rPr>
      <w:t>avapritinib</w:t>
    </w:r>
    <w:proofErr w:type="spellEnd"/>
    <w:r w:rsidRPr="00D44488">
      <w:rPr>
        <w:rFonts w:ascii="Segoe UI" w:hAnsi="Segoe UI" w:cs="Segoe UI"/>
        <w:b/>
      </w:rPr>
      <w:t>)</w:t>
    </w:r>
  </w:p>
  <w:p w14:paraId="4A6E2C0F" w14:textId="245CFDD7" w:rsidR="00697D11" w:rsidRPr="00D44488" w:rsidRDefault="00BD6E3A">
    <w:pPr>
      <w:pStyle w:val="Header"/>
      <w:rPr>
        <w:rFonts w:ascii="Segoe UI" w:hAnsi="Segoe UI" w:cs="Segoe UI"/>
      </w:rPr>
    </w:pPr>
    <w:r>
      <w:rPr>
        <w:rFonts w:ascii="Segoe UI" w:hAnsi="Segoe UI" w:cs="Segoe UI"/>
      </w:rPr>
      <w:t>February 5</w:t>
    </w:r>
    <w:r w:rsidR="00924D06" w:rsidRPr="00D44488">
      <w:rPr>
        <w:rFonts w:ascii="Segoe UI" w:hAnsi="Segoe UI" w:cs="Segoe UI"/>
      </w:rPr>
      <w:t>, 20</w:t>
    </w:r>
    <w:r>
      <w:rPr>
        <w:rFonts w:ascii="Segoe UI" w:hAnsi="Segoe UI" w:cs="Segoe UI"/>
      </w:rPr>
      <w:t>20</w:t>
    </w:r>
  </w:p>
  <w:p w14:paraId="7F9D2ADD" w14:textId="77777777" w:rsidR="00697D11" w:rsidRPr="00D44488" w:rsidRDefault="00697D11">
    <w:pPr>
      <w:pStyle w:val="Header"/>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1462" w14:textId="77777777" w:rsidR="00BD6E3A" w:rsidRDefault="00BD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741C5"/>
    <w:multiLevelType w:val="hybridMultilevel"/>
    <w:tmpl w:val="AB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11"/>
    <w:rsid w:val="00001625"/>
    <w:rsid w:val="00025B50"/>
    <w:rsid w:val="000552BF"/>
    <w:rsid w:val="000711AF"/>
    <w:rsid w:val="001360A6"/>
    <w:rsid w:val="002652B8"/>
    <w:rsid w:val="002C0F01"/>
    <w:rsid w:val="003742A3"/>
    <w:rsid w:val="00621A0E"/>
    <w:rsid w:val="00697D11"/>
    <w:rsid w:val="006E39A9"/>
    <w:rsid w:val="007D4A97"/>
    <w:rsid w:val="00912DFB"/>
    <w:rsid w:val="00924D06"/>
    <w:rsid w:val="00935C43"/>
    <w:rsid w:val="00B72E3B"/>
    <w:rsid w:val="00BD6E3A"/>
    <w:rsid w:val="00D44488"/>
    <w:rsid w:val="00D657A1"/>
    <w:rsid w:val="00DD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8E19D"/>
  <w15:chartTrackingRefBased/>
  <w15:docId w15:val="{9E4ABD5E-B274-468C-9B84-283AC1F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NoSpacing">
    <w:name w:val="No Spacing"/>
    <w:uiPriority w:val="1"/>
    <w:qFormat/>
    <w:rsid w:val="00001625"/>
    <w:pPr>
      <w:spacing w:after="0" w:line="240" w:lineRule="auto"/>
    </w:pPr>
  </w:style>
  <w:style w:type="paragraph" w:styleId="FootnoteText">
    <w:name w:val="footnote text"/>
    <w:basedOn w:val="Normal"/>
    <w:link w:val="FootnoteTextChar"/>
    <w:uiPriority w:val="99"/>
    <w:semiHidden/>
    <w:unhideWhenUsed/>
    <w:rsid w:val="00621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A0E"/>
    <w:rPr>
      <w:sz w:val="20"/>
      <w:szCs w:val="20"/>
    </w:rPr>
  </w:style>
  <w:style w:type="character" w:styleId="FootnoteReference">
    <w:name w:val="footnote reference"/>
    <w:basedOn w:val="DefaultParagraphFont"/>
    <w:uiPriority w:val="99"/>
    <w:semiHidden/>
    <w:unhideWhenUsed/>
    <w:rsid w:val="00621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83e9891-6eb2-407b-935a-ed8d874b03ab" xsi:nil="true"/>
    <lcf76f155ced4ddcb4097134ff3c332f xmlns="bef6a4ee-3f24-4993-aa2b-2db240f638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BAA76D4E11746A5C56511CFA8AB6A" ma:contentTypeVersion="15" ma:contentTypeDescription="Create a new document." ma:contentTypeScope="" ma:versionID="8fbfa3f86dd21af93b71061cd67694b8">
  <xsd:schema xmlns:xsd="http://www.w3.org/2001/XMLSchema" xmlns:xs="http://www.w3.org/2001/XMLSchema" xmlns:p="http://schemas.microsoft.com/office/2006/metadata/properties" xmlns:ns1="http://schemas.microsoft.com/sharepoint/v3" xmlns:ns2="e83e9891-6eb2-407b-935a-ed8d874b03ab" xmlns:ns3="bef6a4ee-3f24-4993-aa2b-2db240f638ba" targetNamespace="http://schemas.microsoft.com/office/2006/metadata/properties" ma:root="true" ma:fieldsID="cd339337e9a6e1a8db9de47c7d766a12" ns1:_="" ns2:_="" ns3:_="">
    <xsd:import namespace="http://schemas.microsoft.com/sharepoint/v3"/>
    <xsd:import namespace="e83e9891-6eb2-407b-935a-ed8d874b03ab"/>
    <xsd:import namespace="bef6a4ee-3f24-4993-aa2b-2db240f638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e9891-6eb2-407b-935a-ed8d874b0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e73b2d9-a64c-4492-9177-a11f74a68e79}" ma:internalName="TaxCatchAll" ma:showField="CatchAllData" ma:web="e83e9891-6eb2-407b-935a-ed8d874b0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f6a4ee-3f24-4993-aa2b-2db240f638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4F7C1-1360-43D6-AF53-8E9461DEBA87}">
  <ds:schemaRefs>
    <ds:schemaRef ds:uri="http://purl.org/dc/elements/1.1/"/>
    <ds:schemaRef ds:uri="http://schemas.microsoft.com/office/2006/metadata/properties"/>
    <ds:schemaRef ds:uri="b27f12c6-4a17-46f2-9179-1c548a7ddb9e"/>
    <ds:schemaRef ds:uri="c3bc2146-6c5f-404c-8d9e-59866acb557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F18F12-D671-4D82-9794-CDB51E897EB9}"/>
</file>

<file path=customXml/itemProps3.xml><?xml version="1.0" encoding="utf-8"?>
<ds:datastoreItem xmlns:ds="http://schemas.openxmlformats.org/officeDocument/2006/customXml" ds:itemID="{D0A7AD63-C3A7-4611-91DA-9D990324B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Blueprint Medicines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Waltersdorf</dc:creator>
  <cp:keywords/>
  <dc:description/>
  <cp:lastModifiedBy>Jenna Cohen</cp:lastModifiedBy>
  <cp:revision>5</cp:revision>
  <dcterms:created xsi:type="dcterms:W3CDTF">2020-01-28T20:26:00Z</dcterms:created>
  <dcterms:modified xsi:type="dcterms:W3CDTF">2020-02-05T19:29:00Z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DMSLIBRARY01\99999\112243\35739827.v1-11/27/19</vt:lpwstr>
  </property>
  <property fmtid="{D5CDD505-2E9C-101B-9397-08002B2CF9AE}" pid="3" name="CUS_DocIDChunk0">
    <vt:lpwstr>DMSLIBRARY01\99999\112243\35739827.v1-11/27/19</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0x010100368BAA76D4E11746A5C56511CFA8AB6A</vt:lpwstr>
  </property>
</Properties>
</file>